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6"/>
        <w:gridCol w:w="6770"/>
      </w:tblGrid>
      <w:tr w:rsidR="00BE6BF7" w14:paraId="45837BD4" w14:textId="77777777" w:rsidTr="00953336">
        <w:trPr>
          <w:trHeight w:val="179"/>
        </w:trPr>
        <w:tc>
          <w:tcPr>
            <w:tcW w:w="22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836B2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723C1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325040" w14:textId="77777777" w:rsidR="00BE6BF7" w:rsidRDefault="00BE6BF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BE6BF7" w:rsidRPr="00B23143" w14:paraId="2700995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D9819" w14:textId="6C95B1DC" w:rsidR="00BE6BF7" w:rsidRPr="00953336" w:rsidRDefault="00953336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автономное</w:t>
            </w:r>
            <w:proofErr w:type="gramEnd"/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 гребного слалома Окуловского муниципального района»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5311008509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КПП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531101001</w:t>
            </w:r>
          </w:p>
        </w:tc>
      </w:tr>
      <w:tr w:rsidR="00BE6BF7" w14:paraId="6BB3E74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6DF5D" w14:textId="77777777" w:rsidR="00BE6BF7" w:rsidRDefault="009A6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</w:tbl>
    <w:p w14:paraId="6FBD39C1" w14:textId="0104A473" w:rsidR="00BE6BF7" w:rsidRPr="00953336" w:rsidRDefault="009A68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3143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4"/>
        <w:gridCol w:w="3069"/>
        <w:gridCol w:w="1354"/>
      </w:tblGrid>
      <w:tr w:rsidR="00BE6BF7" w14:paraId="74E9FA1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D97B9" w14:textId="4C858AEC" w:rsidR="00BE6BF7" w:rsidRPr="00953336" w:rsidRDefault="009533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Окуловка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282BA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DF056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</w:tr>
    </w:tbl>
    <w:p w14:paraId="4F2D39C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</w:p>
    <w:p w14:paraId="150F2C5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224C84C" w14:textId="2E47BEF0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B23143">
        <w:rPr>
          <w:rFonts w:hAnsi="Times New Roman" w:cs="Times New Roman"/>
          <w:color w:val="000000"/>
          <w:sz w:val="24"/>
          <w:szCs w:val="24"/>
          <w:lang w:val="ru-RU"/>
        </w:rPr>
        <w:t xml:space="preserve">49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28.12.2024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утвердив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редакцию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01.01.2026.</w:t>
      </w:r>
    </w:p>
    <w:p w14:paraId="12CF572C" w14:textId="04B109D6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Опубликовать основные положения учетной политики на официальном сайте учреждения в течение 10 дней с даты утверждения.</w:t>
      </w:r>
    </w:p>
    <w:p w14:paraId="374FF12D" w14:textId="0BD26126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за исполнением приказа возложить на главного бухгалтера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С.В.Сибирякову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  <w:gridCol w:w="180"/>
        <w:gridCol w:w="2166"/>
        <w:gridCol w:w="271"/>
        <w:gridCol w:w="2679"/>
      </w:tblGrid>
      <w:tr w:rsidR="00BE6BF7" w14:paraId="01C5BFDC" w14:textId="77777777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1C0C" w14:textId="77777777" w:rsidR="00BE6BF7" w:rsidRDefault="009A68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C3E4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BB8E7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13CCD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657DE" w14:textId="630EF28E" w:rsidR="00BE6BF7" w:rsidRPr="00953336" w:rsidRDefault="0095333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В.В.Алексеев</w:t>
            </w:r>
            <w:proofErr w:type="spellEnd"/>
          </w:p>
        </w:tc>
      </w:tr>
      <w:tr w:rsidR="00BE6BF7" w14:paraId="4B30B0FB" w14:textId="77777777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E1718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8A1BB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13B48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C0368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BAD35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026826" w14:textId="77777777" w:rsidR="00BE6BF7" w:rsidRDefault="00BE6B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BD6483" w14:textId="77777777" w:rsid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2B61A7" w14:textId="77777777" w:rsid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EECB7F" w14:textId="77777777" w:rsid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1F0D47" w14:textId="77777777" w:rsid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FF26D9" w14:textId="77777777" w:rsidR="00953336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31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</w:tblGrid>
      <w:tr w:rsidR="00BE6BF7" w14:paraId="656112F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240E9" w14:textId="77605A0E" w:rsidR="00BE6BF7" w:rsidRPr="00953336" w:rsidRDefault="009A680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Приложение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25.12.2025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 w:rsid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B231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</w:tbl>
    <w:p w14:paraId="5820A1C2" w14:textId="77777777" w:rsidR="00BE6BF7" w:rsidRPr="00953336" w:rsidRDefault="009A68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Учетная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</w:p>
    <w:p w14:paraId="76EA7321" w14:textId="222B69FA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автономное</w:t>
      </w:r>
      <w:proofErr w:type="gram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 гребного слалома Окуловского муниципального района»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учреждение) разработана в соответствии:</w:t>
      </w:r>
    </w:p>
    <w:p w14:paraId="1B4FA929" w14:textId="77777777" w:rsidR="00BE6BF7" w:rsidRPr="00953336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A193A39" w14:textId="77777777" w:rsidR="00BE6BF7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20.09.2024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133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СГС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133);</w:t>
      </w:r>
    </w:p>
    <w:p w14:paraId="14DB7C9E" w14:textId="77777777" w:rsidR="00BE6BF7" w:rsidRPr="00953336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24.05.2022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назначения»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348800E" w14:textId="77777777" w:rsidR="00BE6BF7" w:rsidRPr="00953336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29.11.2017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сектора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управления»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F657DF0" w14:textId="77777777" w:rsidR="00BE6BF7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52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039D4CC3" w14:textId="77777777" w:rsidR="00BE6BF7" w:rsidRDefault="009A68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унифицированных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61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44968FE2" w14:textId="77777777" w:rsidR="00BE6BF7" w:rsidRPr="00953336" w:rsidRDefault="009A680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31.12.2016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256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257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258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259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260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«Аренда»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«Обесценение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«Представление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275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277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278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«События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«Информация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сторонах»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27.02.2018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28.02.2018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122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124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«Влияние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валют»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«Резервы»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07.12.2018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256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29.06.2018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145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15.11.2019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181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182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183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184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заимствованиям»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«Совместная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персоналу»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«Финансовые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инструменты»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30.10.2020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254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«Метод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долевого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16.12.2020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310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«Биологические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F1AB009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162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1DE0286E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термины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сокращения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6"/>
        <w:gridCol w:w="7421"/>
      </w:tblGrid>
      <w:tr w:rsidR="00BE6BF7" w14:paraId="313A09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D1AA" w14:textId="77777777" w:rsidR="00BE6BF7" w:rsidRDefault="009A680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72819" w14:textId="77777777" w:rsidR="00BE6BF7" w:rsidRDefault="009A680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F7" w:rsidRPr="00B23143" w14:paraId="638A80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CF7C2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99449" w14:textId="274525EC" w:rsidR="00BE6BF7" w:rsidRPr="00953336" w:rsidRDefault="00953336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автономное</w:t>
            </w:r>
            <w:proofErr w:type="gramEnd"/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 гребного слалома Окуловского муниципального района»</w:t>
            </w:r>
          </w:p>
        </w:tc>
      </w:tr>
      <w:tr w:rsidR="00BE6BF7" w:rsidRPr="00B23143" w14:paraId="5E91CF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A83E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034AE" w14:textId="77777777" w:rsidR="00BE6BF7" w:rsidRPr="00953336" w:rsidRDefault="009A6807">
            <w:pPr>
              <w:rPr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17-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</w:p>
        </w:tc>
      </w:tr>
      <w:tr w:rsidR="00BE6BF7" w:rsidRPr="00B23143" w14:paraId="2E4F53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2F4C2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87EC" w14:textId="77777777" w:rsidR="00BE6BF7" w:rsidRPr="00953336" w:rsidRDefault="009A6807">
            <w:pPr>
              <w:rPr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каком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бухучета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стоит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обозначение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18-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26-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подстатья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КОСГУ</w:t>
            </w:r>
          </w:p>
        </w:tc>
      </w:tr>
    </w:tbl>
    <w:p w14:paraId="344655B8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 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Общие положения</w:t>
      </w:r>
    </w:p>
    <w:p w14:paraId="59907E7F" w14:textId="1458E404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возглавляемая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ухгалтери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51C679" w14:textId="1F40D291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В учреждении действуют постоянные комиссии:</w:t>
      </w:r>
    </w:p>
    <w:p w14:paraId="3737DEDB" w14:textId="77777777" w:rsidR="00BE6BF7" w:rsidRPr="00953336" w:rsidRDefault="009A680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1);</w:t>
      </w:r>
    </w:p>
    <w:p w14:paraId="756D5BA9" w14:textId="77777777" w:rsidR="00BE6BF7" w:rsidRDefault="009A680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2);</w:t>
      </w:r>
    </w:p>
    <w:p w14:paraId="2BD34E52" w14:textId="2610FF41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</w:p>
    <w:p w14:paraId="6470585C" w14:textId="7C6C906A" w:rsidR="00BE6BF7" w:rsidRPr="00953336" w:rsidRDefault="009533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средств,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пункты 17, 20, 32 СГС «Учетная политика, оценочные значения и ошибки».</w:t>
      </w:r>
    </w:p>
    <w:p w14:paraId="44FAA095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План счетов</w:t>
      </w:r>
    </w:p>
    <w:p w14:paraId="5DEF41D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разработанного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133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BD49B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18-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4"/>
        <w:gridCol w:w="8053"/>
      </w:tblGrid>
      <w:tr w:rsidR="00BE6BF7" w14:paraId="6249748A" w14:textId="7777777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1DA4D" w14:textId="77777777" w:rsidR="00BE6BF7" w:rsidRDefault="009A680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0C098" w14:textId="77777777" w:rsidR="00BE6BF7" w:rsidRDefault="009A680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BE6BF7" w:rsidRPr="00B23143" w14:paraId="3450A116" w14:textId="7777777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AC92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4018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094B782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0702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</w:tr>
      <w:tr w:rsidR="00BE6BF7" w14:paraId="21C78910" w14:textId="7777777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09EF0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E1DC7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целевыми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46924CC" w14:textId="77777777" w:rsidR="00BE6BF7" w:rsidRPr="00953336" w:rsidRDefault="009A680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магистральной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40B58737" w14:textId="77777777" w:rsidR="00BE6BF7" w:rsidRPr="00953336" w:rsidRDefault="009A680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F113268" w14:textId="77777777" w:rsidR="00BE6BF7" w:rsidRDefault="009A6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нули</w:t>
            </w:r>
            <w:proofErr w:type="spellEnd"/>
          </w:p>
        </w:tc>
      </w:tr>
      <w:tr w:rsidR="00BE6BF7" w:rsidRPr="00B23143" w14:paraId="67D356A3" w14:textId="7777777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1F703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E23E1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выбытий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84336E5" w14:textId="77777777" w:rsidR="00BE6BF7" w:rsidRPr="00953336" w:rsidRDefault="009A680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59DC5F6" w14:textId="77777777" w:rsidR="00BE6BF7" w:rsidRDefault="009A680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C02EE2" w14:textId="77777777" w:rsidR="00BE6BF7" w:rsidRPr="00953336" w:rsidRDefault="009A680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бюджетов</w:t>
            </w:r>
          </w:p>
        </w:tc>
      </w:tr>
      <w:tr w:rsidR="00BE6BF7" w:rsidRPr="00B23143" w14:paraId="00673DB4" w14:textId="77777777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9072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53391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14:paraId="74D80675" w14:textId="77777777" w:rsidR="00BE6BF7" w:rsidRPr="00953336" w:rsidRDefault="009A680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приносящая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</w:t>
            </w:r>
            <w:r w:rsidRPr="00953336">
              <w:rPr>
                <w:lang w:val="ru-RU"/>
              </w:rPr>
              <w:br/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1E7CACF8" w14:textId="77777777" w:rsidR="00BE6BF7" w:rsidRDefault="009A680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0046050" w14:textId="77777777" w:rsidR="00BE6BF7" w:rsidRPr="00953336" w:rsidRDefault="009A680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2EFBC13" w14:textId="77777777" w:rsidR="00BE6BF7" w:rsidRDefault="009A680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0EE4AB" w14:textId="77777777" w:rsidR="00BE6BF7" w:rsidRPr="00953336" w:rsidRDefault="009A680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капитальных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</w:t>
            </w:r>
          </w:p>
        </w:tc>
      </w:tr>
    </w:tbl>
    <w:p w14:paraId="13B6E41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Кроме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599EB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0.303.05.000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B2C03C7" w14:textId="77777777" w:rsidR="00BE6BF7" w:rsidRDefault="009A680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пошлина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(0.303.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5.000);</w:t>
      </w:r>
    </w:p>
    <w:p w14:paraId="32998EAF" w14:textId="77777777" w:rsidR="00BE6BF7" w:rsidRDefault="009A680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«Транспортный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налог»</w:t>
      </w:r>
      <w:r>
        <w:rPr>
          <w:rFonts w:hAnsi="Times New Roman" w:cs="Times New Roman"/>
          <w:color w:val="000000"/>
          <w:sz w:val="24"/>
          <w:szCs w:val="24"/>
        </w:rPr>
        <w:t xml:space="preserve"> (0.303.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5.000);</w:t>
      </w:r>
    </w:p>
    <w:p w14:paraId="48039B8D" w14:textId="77777777" w:rsidR="00BE6BF7" w:rsidRPr="00953336" w:rsidRDefault="009A680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«Пени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санкции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налоговым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платежам»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(0.303.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5.000);</w:t>
      </w:r>
    </w:p>
    <w:p w14:paraId="4D73511B" w14:textId="77777777" w:rsidR="00BE6BF7" w:rsidRPr="00953336" w:rsidRDefault="009A680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«Возмещение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страхователя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(0.303.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5.000).</w:t>
      </w:r>
    </w:p>
    <w:p w14:paraId="5BFB4D5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17, 19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8, 9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133,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D26528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III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Технология составления, передачи документов для отражения в бухгалтерском учете</w:t>
      </w:r>
    </w:p>
    <w:p w14:paraId="6C7FA0F8" w14:textId="607373B9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53336">
        <w:rPr>
          <w:rFonts w:hAnsi="Times New Roman" w:cs="Times New Roman"/>
          <w:color w:val="000000"/>
          <w:sz w:val="24"/>
          <w:szCs w:val="24"/>
          <w:lang w:val="ru-RU"/>
        </w:rPr>
        <w:t>ПАРУС-БЮДЖЕТ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4F4A7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каналов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433B246" w14:textId="77777777" w:rsidR="00BE6BF7" w:rsidRPr="00953336" w:rsidRDefault="009A680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4AF940" w14:textId="77777777" w:rsidR="00BE6BF7" w:rsidRDefault="009A680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D48F393" w14:textId="77777777" w:rsidR="00BE6BF7" w:rsidRDefault="009A680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сборам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инспекцию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B53ABF" w14:textId="77777777" w:rsidR="00BE6BF7" w:rsidRPr="00953336" w:rsidRDefault="009A680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D9BA467" w14:textId="77777777" w:rsidR="00BE6BF7" w:rsidRPr="00953336" w:rsidRDefault="009A680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bus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gov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FED65D" w14:textId="77777777" w:rsidR="00BE6BF7" w:rsidRDefault="009A680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39728A8C" w14:textId="5E188A66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ПАРУС-Бюджет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СБИС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39F1C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Обмен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СУФД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FC4B3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DF19A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C7D8CE6" w14:textId="77777777" w:rsidR="00BE6BF7" w:rsidRPr="00953336" w:rsidRDefault="009A680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подшиваются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папки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93058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BC2813" w14:textId="77777777" w:rsidR="00D3384D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сняты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A350B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5C872D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IV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Правила документооборота</w:t>
      </w:r>
    </w:p>
    <w:p w14:paraId="0BBA9C2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05064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произошел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CE3BD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DA787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составившие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подписавшие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F8494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«ж»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204B7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4FBD4D1" w14:textId="77777777" w:rsidR="00BE6BF7" w:rsidRPr="00953336" w:rsidRDefault="009A680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5;</w:t>
      </w:r>
    </w:p>
    <w:p w14:paraId="2C2045CC" w14:textId="77777777" w:rsidR="00BE6BF7" w:rsidRPr="00953336" w:rsidRDefault="009A680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реквизитами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225DD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775D9E" w14:textId="043E9A3E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4F661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занимающим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Пофамильный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0D601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2B5DD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BBF012" w14:textId="77777777" w:rsidR="00BE6BF7" w:rsidRPr="00953336" w:rsidRDefault="009A680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0510431);</w:t>
      </w:r>
    </w:p>
    <w:p w14:paraId="67F5E31D" w14:textId="77777777" w:rsidR="00BE6BF7" w:rsidRDefault="009A680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Ведомость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выпадающих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доходов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0510838).</w:t>
      </w:r>
    </w:p>
    <w:p w14:paraId="163112A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E2EAA6" w14:textId="26A897EB" w:rsidR="00BE6BF7" w:rsidRPr="00953336" w:rsidRDefault="00D3384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14:paraId="1A50AD9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отличается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21023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5E582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6808FD" w14:textId="15DCC878" w:rsidR="00BE6BF7" w:rsidRPr="00953336" w:rsidRDefault="00D3384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.Формирование электронных регистров бухгалтерского учета осуществляется в следующем порядке:</w:t>
      </w:r>
    </w:p>
    <w:p w14:paraId="212D9652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0509213)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обороты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CEC9B68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приходных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ордеров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12D9E5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статусом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«подписан»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аннулируются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кассовая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3DFC70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0A0ACA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4CA068" w14:textId="77777777" w:rsidR="00BE6BF7" w:rsidRPr="00953336" w:rsidRDefault="009A680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B27206" w14:textId="77777777" w:rsidR="00BE6BF7" w:rsidRPr="00953336" w:rsidRDefault="009A680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CD2B8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0B50E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2B81C3" w14:textId="2B520C6B" w:rsidR="00BE6BF7" w:rsidRPr="00953336" w:rsidRDefault="00D3384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Журнал операций расчетов по оплате труда, денежному довольствию и стипендиям (ф. 0504071) ведется раздельно по кодам финансового обеспечения деятельности и раздельно по счетам:</w:t>
      </w:r>
    </w:p>
    <w:p w14:paraId="0C1DF97F" w14:textId="77777777" w:rsidR="00BE6BF7" w:rsidRPr="00953336" w:rsidRDefault="009A680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.302.11.000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.302.13.000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79E48F" w14:textId="77777777" w:rsidR="00BE6BF7" w:rsidRPr="00953336" w:rsidRDefault="009A680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.302.96.000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лицам»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42331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146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AEDDD6" w14:textId="1F1BAB45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81247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0504071)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8.</w:t>
      </w:r>
    </w:p>
    <w:p w14:paraId="3361059B" w14:textId="512D5A8A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интернета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C20E85F" w14:textId="77777777" w:rsidR="00BE6BF7" w:rsidRPr="00953336" w:rsidRDefault="009A680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заверен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7F4EEB" w14:textId="77777777" w:rsidR="00BE6BF7" w:rsidRDefault="009A680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содержащего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распечатывается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собственноручного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825D997" w14:textId="53F750E6" w:rsidR="00BE6BF7" w:rsidRPr="00953336" w:rsidRDefault="009A6807" w:rsidP="00D338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снимаются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884E7B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B9A042" w14:textId="36AF78EC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338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контролирующих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ведомства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1C03E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63-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CFB9A6" w14:textId="340EA3AF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съемных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съемных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пронумерован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прошнурован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скреплен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55DB0D" w14:textId="711FADC5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5C14E60" w14:textId="77777777" w:rsidR="00BE6BF7" w:rsidRPr="00953336" w:rsidRDefault="009A680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книжек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вкладышей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B45F42E" w14:textId="0600712C" w:rsidR="00BE6BF7" w:rsidRPr="00B23143" w:rsidRDefault="00BE6BF7" w:rsidP="00DD11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B561B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225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72EE5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сейфах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опечатываются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A5DE20" w14:textId="26EE99B4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71BBD70" w14:textId="0780CA62" w:rsidR="00BE6BF7" w:rsidRPr="00953336" w:rsidRDefault="00DD11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15.1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трудового распорядка. В графах 20 и 37 отражаются итоговые данные неявок.</w:t>
      </w:r>
    </w:p>
    <w:p w14:paraId="7E3F603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0504421)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обозначениями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73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50"/>
        <w:gridCol w:w="661"/>
      </w:tblGrid>
      <w:tr w:rsidR="00BE6BF7" w14:paraId="513FEE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AA818" w14:textId="77777777" w:rsidR="00BE6BF7" w:rsidRDefault="009A680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F8EA4" w14:textId="77777777" w:rsidR="00BE6BF7" w:rsidRDefault="009A680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BE6BF7" w14:paraId="3FE85D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F34DA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B4EBB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BE6BF7" w14:paraId="5596CD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17A64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13979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ЗС</w:t>
            </w:r>
          </w:p>
        </w:tc>
      </w:tr>
      <w:tr w:rsidR="00BE6BF7" w14:paraId="7041BD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36262" w14:textId="77777777" w:rsidR="00BE6BF7" w:rsidRPr="00953336" w:rsidRDefault="009A6807">
            <w:pPr>
              <w:rPr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1FB48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ДП</w:t>
            </w:r>
          </w:p>
        </w:tc>
      </w:tr>
      <w:tr w:rsidR="00BE6BF7" w14:paraId="0A25A7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1834" w14:textId="77777777" w:rsidR="00BE6BF7" w:rsidRPr="00953336" w:rsidRDefault="009A6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оплачиваемый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34833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BE6BF7" w14:paraId="180BBD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614A8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Нерабочий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34BB1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НОД</w:t>
            </w:r>
          </w:p>
        </w:tc>
      </w:tr>
      <w:tr w:rsidR="00BE6BF7" w14:paraId="5983D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885D7" w14:textId="77777777" w:rsidR="00BE6BF7" w:rsidRPr="00953336" w:rsidRDefault="009A6807">
            <w:pPr>
              <w:rPr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вакцинацию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сохранением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заработной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33C0E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</w:p>
        </w:tc>
      </w:tr>
      <w:tr w:rsidR="00BE6BF7" w14:paraId="62F2D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39A1" w14:textId="77777777" w:rsidR="00BE6BF7" w:rsidRPr="00953336" w:rsidRDefault="009A6807">
            <w:pPr>
              <w:rPr>
                <w:lang w:val="ru-RU"/>
              </w:rPr>
            </w:pP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Приостановка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мобилизацией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3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AA118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ПД</w:t>
            </w:r>
          </w:p>
        </w:tc>
      </w:tr>
      <w:tr w:rsidR="00BE6BF7" w14:paraId="6F5866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2A29B" w14:textId="77777777" w:rsidR="00BE6BF7" w:rsidRDefault="009A6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4C1B8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544D8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Расширено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буквенного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«Выполнение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обязанностей»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сдачей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отсутствовал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военкомат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сборы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госорганы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свидетеля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0C2D08EF" w14:textId="3F5C0E30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листков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D11DE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листок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половину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BC651C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V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Методы оценки объектов бухгалтерского учета, порядок их признания, прекращения признания и раскрытия информации</w:t>
      </w:r>
    </w:p>
    <w:p w14:paraId="747FA40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5FC5B8D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стандартах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506DB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8DD10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98172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2.20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BD6D2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</w:p>
    <w:p w14:paraId="5910D17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101.06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«Инвентарь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хозяйственный»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12.</w:t>
      </w:r>
    </w:p>
    <w:p w14:paraId="572400CA" w14:textId="4044FB25" w:rsidR="00BE6BF7" w:rsidRPr="00DD11DE" w:rsidRDefault="009A6807" w:rsidP="00DD1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признаваемый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объединяются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несущественной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ожидаемого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B3F19D4" w14:textId="77777777" w:rsidR="00BE6BF7" w:rsidRPr="00953336" w:rsidRDefault="009A680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CEA8B0" w14:textId="77777777" w:rsidR="00BE6BF7" w:rsidRPr="00953336" w:rsidRDefault="009A680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компьютерное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периферийное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мониторы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мыши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сканеры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акустические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захвата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тюнеры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накопители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жестких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92A5D80" w14:textId="77777777" w:rsidR="00BE6BF7" w:rsidRDefault="009A680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2951D11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существенной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объединяемых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D028A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B4E78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Уникальный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52259B1" w14:textId="77777777" w:rsidR="00BE6BF7" w:rsidRPr="00953336" w:rsidRDefault="009A680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амортизационная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отнесен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отнесении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31D7B19F" w14:textId="77777777" w:rsidR="00BE6BF7" w:rsidRPr="00953336" w:rsidRDefault="009A680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3AC5DDD4" w14:textId="77777777" w:rsidR="00BE6BF7" w:rsidRPr="00953336" w:rsidRDefault="009A680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3DBE947" w14:textId="77777777" w:rsidR="00BE6BF7" w:rsidRPr="00953336" w:rsidRDefault="009A680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912BC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4922B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недвижимого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движимого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уникальный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C6CEB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входящему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признаваемый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формируемый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F5B19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уникальный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однозначно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идентифицирующий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кадастровый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опознавательный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серийный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оружия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нанесения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AA45D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присвоенный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46499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выбывших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82ACD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Присвоенный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обозначается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нанесения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водостойким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маркером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обеспечивающим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маркировки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сложным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обозначается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вляющем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элементе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сложном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2E167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присвоенный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нанесения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20A2F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реклассификации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184EAC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капитальном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A8EE2C4" w14:textId="77777777" w:rsidR="00BE6BF7" w:rsidRDefault="009A680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9E6195" w14:textId="77777777" w:rsidR="00BE6BF7" w:rsidRDefault="009A680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124595" w14:textId="77777777" w:rsidR="00BE6BF7" w:rsidRDefault="009A680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041E4D" w14:textId="77777777" w:rsidR="00BE6BF7" w:rsidRDefault="009A680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многолетние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насаждения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0B3A27" w14:textId="77777777" w:rsidR="00BE6BF7" w:rsidRDefault="009A680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2FC2BD4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E39E09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частичной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ликвидируемых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14:paraId="2332B249" w14:textId="77777777" w:rsidR="00BE6BF7" w:rsidRDefault="009A680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EE6D63" w14:textId="77777777" w:rsidR="00BE6BF7" w:rsidRDefault="009A680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E76B1F" w14:textId="77777777" w:rsidR="00BE6BF7" w:rsidRDefault="009A680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4055D59" w14:textId="77777777" w:rsidR="00BE6BF7" w:rsidRPr="00953336" w:rsidRDefault="009A6807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DB1E69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модернизаций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реконструкций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реставраций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перевооружений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дальнейшим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учтенная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D2A7E62" w14:textId="77777777" w:rsidR="00BE6BF7" w:rsidRDefault="009A680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3F4015" w14:textId="77777777" w:rsidR="00BE6BF7" w:rsidRDefault="009A680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F8A2E3B" w14:textId="77777777" w:rsidR="00BE6BF7" w:rsidRDefault="009A680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231C8E0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CE2A4E" w14:textId="4E64803D" w:rsidR="00BE6BF7" w:rsidRPr="00953336" w:rsidRDefault="009A6807" w:rsidP="00DD1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639E8CC" w14:textId="0098765C" w:rsidR="00BE6BF7" w:rsidRPr="00953336" w:rsidRDefault="009A6807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A4BAB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36, 37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9AF74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2.9.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0E77D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17C99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остаточная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равнялась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увеличиваются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умножаются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переоцененную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9DB44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1A869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выгод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AB78C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относящееся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44224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E5124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.106.00.000,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«Субсидии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FA347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BC4FF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Локально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вычислительная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ЛВС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охранно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пожарная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сигнализация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ЛВС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ЛВС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2.2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54852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2.17.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первоначальную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86165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гарантийный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гарантийные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талоны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14FA2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Справедливая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безвозмездно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CC7FB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4C13A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9BB44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квалифицируются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неотделимые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неотделимых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улучшений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четкой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95FFF4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1-2-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01;</w:t>
      </w:r>
    </w:p>
    <w:p w14:paraId="62D2224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буквенный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сигнализация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7B1BC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E5440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70D81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Нематериальные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активы</w:t>
      </w:r>
    </w:p>
    <w:p w14:paraId="111E4EE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2C6EE61" w14:textId="77777777" w:rsidR="00BE6BF7" w:rsidRPr="00953336" w:rsidRDefault="009A680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остатка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«Научные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4B3EAFC" w14:textId="77777777" w:rsidR="00BE6BF7" w:rsidRPr="00953336" w:rsidRDefault="009A6807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4AA70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30, 31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F69D7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необменной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справедливая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02F97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предполагается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28A53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секрета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соблюдается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неопределенным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57132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существенным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10 %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86E01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Первоначальная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E5098AA" w14:textId="77777777" w:rsidR="00BE6BF7" w:rsidRPr="00953336" w:rsidRDefault="009A680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лабораторного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FDB3AE" w14:textId="77777777" w:rsidR="00BE6BF7" w:rsidRPr="00953336" w:rsidRDefault="009A680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тестировщиков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E31937" w14:textId="77777777" w:rsidR="00BE6BF7" w:rsidRDefault="009A6807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7A4B285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раскрывает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недостач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излишков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56CDB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1EF67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Непроизведенные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активы</w:t>
      </w:r>
    </w:p>
    <w:p w14:paraId="77E21F4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Справедливая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земельного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вовлекаемого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разграничена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ЕГРН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кадастровой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земельного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ЕГРН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D6BDC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3B9D8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пятнадцати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ХХХХХХ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7168E19" w14:textId="77777777" w:rsidR="00BE6BF7" w:rsidRPr="00953336" w:rsidRDefault="009A680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синтетической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5610F4" w14:textId="77777777" w:rsidR="00BE6BF7" w:rsidRPr="00953336" w:rsidRDefault="009A680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BD51924" w14:textId="77777777" w:rsidR="00BE6BF7" w:rsidRPr="00953336" w:rsidRDefault="009A680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(000001, 000002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09322BE9" w14:textId="77777777" w:rsidR="00BE6BF7" w:rsidRDefault="009A6807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(0001, 0002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0000.</w:t>
      </w:r>
    </w:p>
    <w:p w14:paraId="64CB351A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запасы</w:t>
      </w:r>
    </w:p>
    <w:p w14:paraId="62C10DC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разбивкой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5BA57B8" w14:textId="740164DC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«Строительные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8C3DFBF" w14:textId="77777777" w:rsidR="00BE6BF7" w:rsidRPr="00953336" w:rsidRDefault="009A680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силикатные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цемент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гравий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известь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камень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кирпич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черепица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лесные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лес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круглый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пиломатериалы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фанера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металл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железо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жесть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цинк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листовой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металлоизделия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гвозди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гайки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болты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скобяные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муфты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тройники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кабель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патроны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ролики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предохранители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изоляторы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химико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москательные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краска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олифа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D6B7B2C" w14:textId="77777777" w:rsidR="00BE6BF7" w:rsidRPr="00953336" w:rsidRDefault="009A680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металлические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железобетонные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деревянные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сборные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сборные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отопительной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вентиляционной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радиаторы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1F61508E" w14:textId="77777777" w:rsidR="00BE6BF7" w:rsidRPr="00953336" w:rsidRDefault="009A6807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монтажа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требующему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монтажа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введено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сборки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прикрепления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фундаменту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опорам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измерительная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аппаратура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монтажа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монтажных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5C1DF1" w14:textId="74874A06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B231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Мягкий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B844908" w14:textId="77777777" w:rsidR="00BE6BF7" w:rsidRPr="00953336" w:rsidRDefault="009A6807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постельное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белье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матрацы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подушки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одеяла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простыни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пододеяльники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наволочки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покрывала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мешки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1CF2A5C1" w14:textId="77777777" w:rsidR="00BE6BF7" w:rsidRPr="00953336" w:rsidRDefault="009A6807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обмундирование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пальто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плащи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полушубки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платья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кофты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юбки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куртки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23CD9BAE" w14:textId="77777777" w:rsidR="00BE6BF7" w:rsidRPr="00953336" w:rsidRDefault="009A6807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ботинки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сапоги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сандалии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валенки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4A58C640" w14:textId="77777777" w:rsidR="00BE6BF7" w:rsidRDefault="009A6807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прочий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мягкий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BA648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комбинезоны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куртки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полушубки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тулупы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различная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рукавицы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шлемы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противогазы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респираторы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функционально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оборону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B09D9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маркируются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специальным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штампом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несмываемой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маркировка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Маркировочн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штампы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9A62F3" w14:textId="052FC889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B231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F65DE51" w14:textId="77777777" w:rsidR="00BE6BF7" w:rsidRPr="00953336" w:rsidRDefault="009A6807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лампочки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мыло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щетки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карандаши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стержни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520E7CD3" w14:textId="77777777" w:rsidR="00BE6BF7" w:rsidRDefault="009A6807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0D79BB9" w14:textId="77777777" w:rsidR="00BE6BF7" w:rsidRPr="00953336" w:rsidRDefault="009A6807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возвратная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обменная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бидоны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ящики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стеклянные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бутылки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свободная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порожняя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находящаяся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C1AF7F4" w14:textId="77777777" w:rsidR="00BE6BF7" w:rsidRDefault="009A6807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назначения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A72AA6" w14:textId="77777777" w:rsidR="00BE6BF7" w:rsidRDefault="009A6807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запасы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51C086F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номенклатурная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F7C53FB" w14:textId="77777777" w:rsidR="00BE6BF7" w:rsidRPr="00953336" w:rsidRDefault="009A6807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совпадают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офисная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пачке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одинаковыми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штук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коробке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однородная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FAE8CDE" w14:textId="77777777" w:rsidR="00BE6BF7" w:rsidRDefault="009A6807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ограниченным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медикаменты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продажи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65EDB7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«однородная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«партия»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1654A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отличаются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прикладывают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B9434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57141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0.109.69.000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«Себестоимость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незавершенного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AACEF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2DA692" w14:textId="2F5DB996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B17B9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разборки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55C04AF" w14:textId="77777777" w:rsidR="00BE6BF7" w:rsidRPr="00953336" w:rsidRDefault="009A6807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рассчитанной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рыночных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62C78A7" w14:textId="77777777" w:rsidR="00BE6BF7" w:rsidRPr="00953336" w:rsidRDefault="009A6807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уплачиваемых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пригодное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1D78A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60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AAA4A3" w14:textId="19B88B6C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B17B9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контрактом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понесло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648D71" w14:textId="65FAFAAA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B17B9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.106.00.000,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«Субсидии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92ED10" w14:textId="0CAB9D1E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B17B9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детализацию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разрядах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89D3D74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341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4B5F49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Увеличение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D934CAF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343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горюче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смазочных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F1B542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Увеличение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1C37D2B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345 </w:t>
      </w:r>
      <w:r>
        <w:rPr>
          <w:rFonts w:hAnsi="Times New Roman" w:cs="Times New Roman"/>
          <w:color w:val="000000"/>
          <w:sz w:val="24"/>
          <w:szCs w:val="24"/>
        </w:rPr>
        <w:t>Увеличение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мягкого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A5AC72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346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D55261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347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C61938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349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C26C36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441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BE188D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442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Уменьшение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9C0B742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443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горюче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смазочных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143373F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444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Уменьшение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AB1E51" w14:textId="77777777" w:rsidR="00BE6BF7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445 </w:t>
      </w:r>
      <w:r>
        <w:rPr>
          <w:rFonts w:hAnsi="Times New Roman" w:cs="Times New Roman"/>
          <w:color w:val="000000"/>
          <w:sz w:val="24"/>
          <w:szCs w:val="24"/>
        </w:rPr>
        <w:t>Уменьшение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мягкого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B6C644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446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оборотных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3BE116ED" w14:textId="77777777" w:rsidR="00BE6BF7" w:rsidRPr="00953336" w:rsidRDefault="009A680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447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3959C4" w14:textId="77777777" w:rsidR="00BE6BF7" w:rsidRPr="00953336" w:rsidRDefault="009A6807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449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357B9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5.10.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2D3ED7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5.10.1.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заготовительных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4A716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заготовительные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DED87EF" w14:textId="77777777" w:rsidR="00BE6BF7" w:rsidRPr="00953336" w:rsidRDefault="009A6807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разгрузочными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84BDE8" w14:textId="77777777" w:rsidR="00BE6BF7" w:rsidRDefault="009A6807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763E48" w14:textId="77777777" w:rsidR="00BE6BF7" w:rsidRPr="00953336" w:rsidRDefault="009A6807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заготовкой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доставкой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401132" w14:textId="77777777" w:rsidR="00BE6BF7" w:rsidRDefault="009A6807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EE0781E" w14:textId="77777777" w:rsidR="00BE6BF7" w:rsidRPr="00953336" w:rsidRDefault="009A6807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недостача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убыли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6CDF47" w14:textId="77777777" w:rsidR="00BE6BF7" w:rsidRPr="00953336" w:rsidRDefault="009A6807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надбавки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вознаграждения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посредникам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BE927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доставке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разнородных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весу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ассортимента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05B9B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разнородных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этими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83501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химическую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обезвреживание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сушку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A3B15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изношенности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D7E2B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списанный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уничтожается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превращается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разрезается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рвется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Пригодная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20C36B" w14:textId="46F1DD99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</w:t>
      </w:r>
      <w:r w:rsidR="00B17B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хозяйственного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2AF5CA5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отнесении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260701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швабры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грабли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веники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слесарно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монтажный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столярно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плотницкий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канцтовары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калькуляторов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B88E8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месячной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сложившихся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прошлый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42AD4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5.11.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списания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4CFF884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5.11.1.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1B670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4B641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11..</w:t>
      </w:r>
      <w:proofErr w:type="gram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лимит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-8,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Госкомстата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30.10.1997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Разноска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06154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забалансовых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счетах</w:t>
      </w:r>
    </w:p>
    <w:p w14:paraId="506A38C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01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«Имущество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пользование»</w:t>
      </w:r>
    </w:p>
    <w:p w14:paraId="16100B4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балансодержателя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передающей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собственником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08E2B8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07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«Награды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кубки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подарки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сувениры»</w:t>
      </w:r>
    </w:p>
    <w:p w14:paraId="692836A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сувениры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Награды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кубки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переходящие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C66EE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09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«Запасные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транспортным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выданные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взамен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изношенных»</w:t>
      </w:r>
    </w:p>
    <w:p w14:paraId="45987F7C" w14:textId="356228A3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изношенных»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автомобилях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нетипизированные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</w:p>
    <w:p w14:paraId="00A1D812" w14:textId="32ED5EF3" w:rsidR="00BE6BF7" w:rsidRPr="00953336" w:rsidRDefault="009A6807" w:rsidP="00B17B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безвозмездном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передающей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09,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оприходование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EAE55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237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238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6DC47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24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«Нефинансовые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переданные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доверительное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управление»</w:t>
      </w:r>
    </w:p>
    <w:p w14:paraId="571666C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7131C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6.5.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25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«Имущество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переданное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возмездное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аренду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3E8EE76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4FFA9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6.6.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26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«Имущество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переданное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безвозмездное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пользование»</w:t>
      </w:r>
    </w:p>
    <w:p w14:paraId="164C3D3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D5CEE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766E94C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0B4DBC7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3C51FE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58E55FA" w14:textId="77777777" w:rsidR="00BE6BF7" w:rsidRDefault="009A680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изготовление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готовой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8520F3" w14:textId="77777777" w:rsidR="00BE6BF7" w:rsidRDefault="009A6807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6E4DEEE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D311F3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2645ED6" w14:textId="77777777" w:rsidR="00BE6BF7" w:rsidRPr="00953336" w:rsidRDefault="009A6807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F96FD21" w14:textId="77777777" w:rsidR="00BE6BF7" w:rsidRPr="00953336" w:rsidRDefault="009A6807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естественная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убыль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79961A" w14:textId="77777777" w:rsidR="00BE6BF7" w:rsidRPr="00953336" w:rsidRDefault="009A6807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9806FB7" w14:textId="77777777" w:rsidR="00BE6BF7" w:rsidRPr="00953336" w:rsidRDefault="009A6807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F4A7427" w14:textId="77777777" w:rsidR="00BE6BF7" w:rsidRPr="00953336" w:rsidRDefault="009A6807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656F09C" w14:textId="77777777" w:rsidR="00BE6BF7" w:rsidRDefault="009A6807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20594EA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D2AA560" w14:textId="77777777" w:rsidR="00BE6BF7" w:rsidRPr="00953336" w:rsidRDefault="009A680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8170568" w14:textId="77777777" w:rsidR="00BE6BF7" w:rsidRPr="00953336" w:rsidRDefault="009A680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естественная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убыль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6371CBA" w14:textId="77777777" w:rsidR="00BE6BF7" w:rsidRPr="00953336" w:rsidRDefault="009A680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560362" w14:textId="77777777" w:rsidR="00BE6BF7" w:rsidRPr="00953336" w:rsidRDefault="009A680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CC8B29" w14:textId="77777777" w:rsidR="00BE6BF7" w:rsidRPr="00953336" w:rsidRDefault="009A680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обслуживанием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B038573" w14:textId="77777777" w:rsidR="00BE6BF7" w:rsidRDefault="009A6807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312379C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046BF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распределяемые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79AEA8EF" w14:textId="77777777" w:rsidR="00BE6BF7" w:rsidRPr="00953336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C93E098" w14:textId="77777777" w:rsidR="00BE6BF7" w:rsidRPr="00953336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убыли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пришедшие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негодность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01C0628" w14:textId="77777777" w:rsidR="00BE6BF7" w:rsidRPr="00953336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E24E554" w14:textId="77777777" w:rsidR="00BE6BF7" w:rsidRPr="00953336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87E9538" w14:textId="77777777" w:rsidR="00BE6BF7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B2F46AE" w14:textId="77777777" w:rsidR="00BE6BF7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B76A09" w14:textId="77777777" w:rsidR="00BE6BF7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A6BB99B" w14:textId="77777777" w:rsidR="00BE6BF7" w:rsidRPr="00953336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1BC3D16" w14:textId="77777777" w:rsidR="00BE6BF7" w:rsidRDefault="009A68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803D4D" w14:textId="77777777" w:rsidR="00BE6BF7" w:rsidRPr="00953336" w:rsidRDefault="009A6807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BC715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произведенные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753E8B2" w14:textId="77777777" w:rsidR="00BE6BF7" w:rsidRPr="00953336" w:rsidRDefault="009A6807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распределяемых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реализованной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12DE51" w14:textId="77777777" w:rsidR="00BE6BF7" w:rsidRPr="00953336" w:rsidRDefault="009A6807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нераспределяемых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.401.20.000).</w:t>
      </w:r>
    </w:p>
    <w:p w14:paraId="03E7814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нераспределяемые</w:t>
      </w:r>
      <w:proofErr w:type="spell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.401.20.000),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3563416" w14:textId="77777777" w:rsidR="00BE6BF7" w:rsidRPr="00953336" w:rsidRDefault="009A6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D1926E6" w14:textId="77777777" w:rsidR="00BE6BF7" w:rsidRDefault="009A6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8F64FDF" w14:textId="77777777" w:rsidR="00BE6BF7" w:rsidRPr="00953336" w:rsidRDefault="009A6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6303D7" w14:textId="77777777" w:rsidR="00BE6BF7" w:rsidRPr="00953336" w:rsidRDefault="009A6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неустойки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97232C" w14:textId="77777777" w:rsidR="00BE6BF7" w:rsidRPr="00953336" w:rsidRDefault="009A6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недвижимому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движимому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закреплено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приобретено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2D478B" w14:textId="77777777" w:rsidR="00BE6BF7" w:rsidRDefault="009A6807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161E836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Себестоимость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сформированная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.109.60.000,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.401.10.131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минусом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приходятся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A2D89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15BBCC0" w14:textId="77777777" w:rsidR="00BE6BF7" w:rsidRPr="00953336" w:rsidRDefault="009A6807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незавершенных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заказов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заказов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64C573" w14:textId="77777777" w:rsidR="00BE6BF7" w:rsidRPr="00953336" w:rsidRDefault="009A6807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неготовых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изготавливаемых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F7B35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20, 28, 33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A8771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подотчетными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лицами</w:t>
      </w:r>
    </w:p>
    <w:p w14:paraId="15ED565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71ECC4A" w14:textId="77777777" w:rsidR="00BE6BF7" w:rsidRPr="00953336" w:rsidRDefault="009A6807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зарплатную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90154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02F103" w14:textId="77777777" w:rsidR="007E2544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Предельная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20 000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двадцать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264BA54" w14:textId="177F844B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09.12.2019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5348-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4D08CC" w14:textId="05198D33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отчитаться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57639B" w14:textId="09617140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превышающих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CE109E" w14:textId="4C4CCF0C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чека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подотчетное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36079A1" w14:textId="77777777" w:rsidR="00BE6BF7" w:rsidRDefault="009A6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накладную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товар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26F59F" w14:textId="77777777" w:rsidR="00BE6BF7" w:rsidRPr="00953336" w:rsidRDefault="009A6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CA9B053" w14:textId="77777777" w:rsidR="00BE6BF7" w:rsidRPr="00953336" w:rsidRDefault="009A6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фактуру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DE38A4" w14:textId="77777777" w:rsidR="00BE6BF7" w:rsidRPr="00953336" w:rsidRDefault="009A6807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гарантийный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талон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гарантийный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2FD94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Перерасход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AF294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Расчеты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дебиторами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кредиторами</w:t>
      </w:r>
    </w:p>
    <w:p w14:paraId="34CF29E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A87B46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2178D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дебиторов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коммунальных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выставленного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арендатору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подрядчиков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0504833).</w:t>
      </w:r>
    </w:p>
    <w:p w14:paraId="06258F4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Аналитический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пособиям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F628A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Дебиторская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сомнительной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безнадежной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сомнительной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безнадежной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19.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8164C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9.5.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кредитором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20.</w:t>
      </w:r>
    </w:p>
    <w:p w14:paraId="3605152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Финансовый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</w:t>
      </w:r>
    </w:p>
    <w:p w14:paraId="7C08EBE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4EF75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«Аренда»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740A0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3B21373" w14:textId="77777777" w:rsidR="00BE6BF7" w:rsidRPr="00953336" w:rsidRDefault="009A68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начисленные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сданные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заказчикам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53CEDED" w14:textId="77777777" w:rsidR="00BE6BF7" w:rsidRPr="00953336" w:rsidRDefault="009A68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казны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рассрочка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платежа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80616E" w14:textId="77777777" w:rsidR="00BE6BF7" w:rsidRPr="00953336" w:rsidRDefault="009A68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соглашениям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очередном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перечислений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межбюджетных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трансфертов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бюджетным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автономным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производителям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126ABFA" w14:textId="77777777" w:rsidR="00BE6BF7" w:rsidRPr="00953336" w:rsidRDefault="009A68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соглашениям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A068B0" w14:textId="77777777" w:rsidR="00BE6BF7" w:rsidRPr="00953336" w:rsidRDefault="009A68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предстоящие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BDD2419" w14:textId="77777777" w:rsidR="00BE6BF7" w:rsidRDefault="009A6807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аналогичные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DBE85B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долгосрочным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абонементам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абонемента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Аналогичный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1D4F0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6E395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приходятся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9B222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7A716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величины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долгосрочному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5CAB6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291A8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10.5.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AEAE9FC" w14:textId="77777777" w:rsidR="00BE6BF7" w:rsidRPr="00953336" w:rsidRDefault="009A6807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междугородные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доступу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1F2C94" w14:textId="77777777" w:rsidR="00BE6BF7" w:rsidRPr="00953336" w:rsidRDefault="009A6807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лимиту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FE274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6A986F8" w14:textId="77777777" w:rsidR="00BE6BF7" w:rsidRPr="00953336" w:rsidRDefault="009A6807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ежегодному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оплачиваемому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отпуску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неотработанные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88D585" w14:textId="77777777" w:rsidR="00BE6BF7" w:rsidRPr="00953336" w:rsidRDefault="009A6807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производимым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ремонтом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FC5CD8" w14:textId="442E31CF" w:rsidR="00BE6BF7" w:rsidRPr="00B23143" w:rsidRDefault="00BE6BF7" w:rsidP="007E254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82CB1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1/12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E8BBE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10.7.1.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отпускных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14.</w:t>
      </w:r>
    </w:p>
    <w:p w14:paraId="24829F54" w14:textId="2E2251F6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10.7.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возникающим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ЕИС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ЕИС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2270E1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F555C0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 0510441).</w:t>
      </w:r>
    </w:p>
    <w:p w14:paraId="38B77AA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ЕИС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сформированного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избыточности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прекращения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неиспользованная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отнесением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A64AF1C" w14:textId="5A38207F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10.7.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9E95DF" w14:textId="568229A1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10.7.</w:t>
      </w:r>
      <w:r w:rsidR="007E254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04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числящейся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E8578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7, 21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«Резервы»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персоналу»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73269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10.8.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заключенному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59B75EC" w14:textId="77777777" w:rsidR="00BE6BF7" w:rsidRPr="00953336" w:rsidRDefault="009A6807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401.41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07B222" w14:textId="77777777" w:rsidR="00BE6BF7" w:rsidRPr="00953336" w:rsidRDefault="009A6807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401.49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«Доходы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очередные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497C32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Санкционирование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расходов</w:t>
      </w:r>
    </w:p>
    <w:p w14:paraId="002E6CB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15.</w:t>
      </w:r>
    </w:p>
    <w:p w14:paraId="100CBD0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Представительские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расходы</w:t>
      </w:r>
    </w:p>
    <w:p w14:paraId="53BCC9FA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12.1.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обслуживанием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переговорах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C9D5D83" w14:textId="77777777" w:rsidR="00BE6BF7" w:rsidRPr="00953336" w:rsidRDefault="009A6807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аналогичное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19208B" w14:textId="77777777" w:rsidR="00BE6BF7" w:rsidRPr="00953336" w:rsidRDefault="009A6807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буфетное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напитками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021F95" w14:textId="77777777" w:rsidR="00BE6BF7" w:rsidRDefault="009A6807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канцелярскими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принадлежностями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B825B9D" w14:textId="77777777" w:rsidR="00BE6BF7" w:rsidRPr="00953336" w:rsidRDefault="009A6807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0170A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12.2.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94A74C1" w14:textId="77777777" w:rsidR="00BE6BF7" w:rsidRPr="00953336" w:rsidRDefault="009A6807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6DE6A8" w14:textId="77777777" w:rsidR="00BE6BF7" w:rsidRPr="00953336" w:rsidRDefault="009A6807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B368D01" w14:textId="77777777" w:rsidR="00BE6BF7" w:rsidRPr="00953336" w:rsidRDefault="009A6807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6CC2E44" w14:textId="77777777" w:rsidR="00BE6BF7" w:rsidRPr="00953336" w:rsidRDefault="009A6807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17A47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Денежные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</w:p>
    <w:p w14:paraId="3A6D47C6" w14:textId="6BC65548" w:rsidR="00BE6BF7" w:rsidRPr="00953336" w:rsidRDefault="009A6807" w:rsidP="007E25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13.1.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перечислены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72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D674BF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</w:p>
    <w:p w14:paraId="4EDA6F8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14.1.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поступлениями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выбытиями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F4EF8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двухнедельного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заработка</w:t>
      </w:r>
    </w:p>
    <w:p w14:paraId="4B96AA7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15.1.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двухнедельного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proofErr w:type="gramEnd"/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178, 327.7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296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16AAE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Выходное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пособие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часового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6A7AD5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суммированном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B2F1C0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VI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Инвентаризация</w:t>
      </w:r>
    </w:p>
    <w:p w14:paraId="00F11D4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числящихся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17.</w:t>
      </w:r>
    </w:p>
    <w:p w14:paraId="3CFE08E9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A8A8B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внезапной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4.</w:t>
      </w:r>
    </w:p>
    <w:p w14:paraId="795E34A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подразделению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16A3F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подготовкой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недостаче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достаточными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9DF91A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VII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Порядок организации и обеспечения внутреннего контроля</w:t>
      </w:r>
    </w:p>
    <w:p w14:paraId="086A2C45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C311407" w14:textId="77777777" w:rsidR="00BE6BF7" w:rsidRDefault="009A6807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DA3CE4" w14:textId="715458D1" w:rsidR="00BE6BF7" w:rsidRDefault="009A6807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14:paraId="5280D561" w14:textId="77777777" w:rsidR="00BE6BF7" w:rsidRPr="00953336" w:rsidRDefault="009A6807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86C35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11.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«е»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00463B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VIII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События после отчетной даты</w:t>
      </w:r>
    </w:p>
    <w:p w14:paraId="299321AC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приведенном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16.</w:t>
      </w:r>
    </w:p>
    <w:p w14:paraId="0C7F8DF7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IX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Бухгалтерская (финансовая) отчетность</w:t>
      </w:r>
    </w:p>
    <w:p w14:paraId="14760557" w14:textId="22327A41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EB78E76" w14:textId="77777777" w:rsidR="00BE6BF7" w:rsidRPr="00953336" w:rsidRDefault="009A6807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квартальные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2E0ECA8" w14:textId="6378C87D" w:rsidR="00BE6BF7" w:rsidRPr="00953336" w:rsidRDefault="009A6807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3C26CC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8FFB0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притоками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оттоками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EA18D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«Отчет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C822F6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«Бюджет»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Бумажная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lang w:val="ru-RU"/>
        </w:rPr>
        <w:br/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F200F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1B2BF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736E3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7, 8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«Информация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сторонах»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57FDA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AAA2D49" w14:textId="77777777" w:rsidR="00BE6BF7" w:rsidRPr="00953336" w:rsidRDefault="009A6807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97FF8B" w14:textId="77777777" w:rsidR="00BE6BF7" w:rsidRDefault="009A6807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связанной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B334FEA" w14:textId="77777777" w:rsidR="00BE6BF7" w:rsidRPr="00953336" w:rsidRDefault="009A6807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«физическое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8D845F" w14:textId="77777777" w:rsidR="00BE6BF7" w:rsidRPr="00953336" w:rsidRDefault="009A6807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321C0B7A" w14:textId="77777777" w:rsidR="00BE6BF7" w:rsidRPr="00953336" w:rsidRDefault="009A6807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«ММ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ГГГГ»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F10E6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запиской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C353E6" w14:textId="77777777" w:rsidR="00BE6BF7" w:rsidRPr="00953336" w:rsidRDefault="009A680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X</w:t>
      </w:r>
      <w:r w:rsidRPr="00953336">
        <w:rPr>
          <w:b/>
          <w:bCs/>
          <w:color w:val="252525"/>
          <w:spacing w:val="-2"/>
          <w:sz w:val="48"/>
          <w:szCs w:val="48"/>
          <w:lang w:val="ru-RU"/>
        </w:rPr>
        <w:t>. Порядок передачи документов бухгалтерского учета при смене руководителя или главного бухгалтера</w:t>
      </w:r>
    </w:p>
    <w:p w14:paraId="2A767267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увольняемые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печати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штампы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хранящиеся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0F96B6" w14:textId="2BB04292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печатей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158DEB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печатей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штампов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создаваемой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F26D5A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59EEA3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24ADFF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принимающим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33CDC1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692ED8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36E41F" w14:textId="77777777" w:rsidR="00BE6BF7" w:rsidRDefault="009A68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Передаются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DA2FF7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A6EBAC6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квартальные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балансы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FFFF91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обоснования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FC5304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оборотные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карточки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098550" w14:textId="77777777" w:rsidR="00BE6BF7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A4C2522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покупок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продаж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фактур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76393F5F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411E4B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лицевых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33E39D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AFB2A2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264DE52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кассовые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22B1D817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скрепленный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BBBE34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7C8E2F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подрядчиками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21676AE1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подрядчиками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77C105C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постановка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0D8C4C00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недвижимом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ЕГРП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5A4C66C7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активах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0FC4C6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описей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FCA9A9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сверки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нереальных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дебиторской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исчерпывающей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характеристикой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05880A" w14:textId="77777777" w:rsidR="00BE6BF7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ревизий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40EB0F" w14:textId="77777777" w:rsidR="00BE6BF7" w:rsidRPr="00953336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недостачах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хищениях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переданных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866900" w14:textId="77777777" w:rsidR="00BE6BF7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771AF1" w14:textId="77777777" w:rsidR="00BE6BF7" w:rsidRDefault="009A6807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513F6F" w14:textId="77777777" w:rsidR="00BE6BF7" w:rsidRPr="00953336" w:rsidRDefault="009A6807">
      <w:pPr>
        <w:numPr>
          <w:ilvl w:val="0"/>
          <w:numId w:val="4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документация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свидетельствующая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FB3B6D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подписании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возражений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пунктам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излагают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237D9E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отметкой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«Замечания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прилагаются»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излагается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небольшие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самом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96F900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увольняемого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DB76B4" w14:textId="77777777" w:rsidR="00BE6BF7" w:rsidRPr="00953336" w:rsidRDefault="009A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: 1-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учредителю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увольняется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), 2-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увольняемому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, 3-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принимало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9533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9"/>
        <w:gridCol w:w="349"/>
        <w:gridCol w:w="4069"/>
      </w:tblGrid>
      <w:tr w:rsidR="00BE6BF7" w14:paraId="2C040DB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659B0E" w14:textId="77777777" w:rsidR="00BE6BF7" w:rsidRDefault="009A68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A1C62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1FD390" w14:textId="7F5E37F3" w:rsidR="00BE6BF7" w:rsidRPr="003C26CC" w:rsidRDefault="003C26C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С.В.Сибирякова</w:t>
            </w:r>
            <w:proofErr w:type="spellEnd"/>
          </w:p>
        </w:tc>
      </w:tr>
      <w:tr w:rsidR="00BE6BF7" w14:paraId="0458FB0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B7A5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50052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A1949" w14:textId="77777777" w:rsidR="00BE6BF7" w:rsidRDefault="00BE6B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A24E5F" w14:textId="77777777" w:rsidR="0030234D" w:rsidRDefault="0030234D"/>
    <w:sectPr w:rsidR="003023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2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A7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81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14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23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D7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22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B4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55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73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85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4D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D5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90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57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B3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B4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71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25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22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C5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50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63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63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43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C4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93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B0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15E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E4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11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F6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CB2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BE6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1A5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C2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85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3E61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95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07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D5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CE0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F31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512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B34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FD5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4D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0A67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424517">
    <w:abstractNumId w:val="31"/>
  </w:num>
  <w:num w:numId="2" w16cid:durableId="205875966">
    <w:abstractNumId w:val="17"/>
  </w:num>
  <w:num w:numId="3" w16cid:durableId="1406801982">
    <w:abstractNumId w:val="21"/>
  </w:num>
  <w:num w:numId="4" w16cid:durableId="2074740277">
    <w:abstractNumId w:val="22"/>
  </w:num>
  <w:num w:numId="5" w16cid:durableId="964851363">
    <w:abstractNumId w:val="15"/>
  </w:num>
  <w:num w:numId="6" w16cid:durableId="1848597785">
    <w:abstractNumId w:val="18"/>
  </w:num>
  <w:num w:numId="7" w16cid:durableId="1976642303">
    <w:abstractNumId w:val="4"/>
  </w:num>
  <w:num w:numId="8" w16cid:durableId="366762901">
    <w:abstractNumId w:val="25"/>
  </w:num>
  <w:num w:numId="9" w16cid:durableId="1701933030">
    <w:abstractNumId w:val="7"/>
  </w:num>
  <w:num w:numId="10" w16cid:durableId="514349965">
    <w:abstractNumId w:val="48"/>
  </w:num>
  <w:num w:numId="11" w16cid:durableId="1139222774">
    <w:abstractNumId w:val="13"/>
  </w:num>
  <w:num w:numId="12" w16cid:durableId="463157112">
    <w:abstractNumId w:val="36"/>
  </w:num>
  <w:num w:numId="13" w16cid:durableId="1726903984">
    <w:abstractNumId w:val="40"/>
  </w:num>
  <w:num w:numId="14" w16cid:durableId="1846286277">
    <w:abstractNumId w:val="32"/>
  </w:num>
  <w:num w:numId="15" w16cid:durableId="109055811">
    <w:abstractNumId w:val="38"/>
  </w:num>
  <w:num w:numId="16" w16cid:durableId="140774531">
    <w:abstractNumId w:val="47"/>
  </w:num>
  <w:num w:numId="17" w16cid:durableId="630136389">
    <w:abstractNumId w:val="3"/>
  </w:num>
  <w:num w:numId="18" w16cid:durableId="1315180374">
    <w:abstractNumId w:val="6"/>
  </w:num>
  <w:num w:numId="19" w16cid:durableId="584534150">
    <w:abstractNumId w:val="24"/>
  </w:num>
  <w:num w:numId="20" w16cid:durableId="1609846765">
    <w:abstractNumId w:val="11"/>
  </w:num>
  <w:num w:numId="21" w16cid:durableId="1380205668">
    <w:abstractNumId w:val="42"/>
  </w:num>
  <w:num w:numId="22" w16cid:durableId="1061565625">
    <w:abstractNumId w:val="16"/>
  </w:num>
  <w:num w:numId="23" w16cid:durableId="1669484222">
    <w:abstractNumId w:val="8"/>
  </w:num>
  <w:num w:numId="24" w16cid:durableId="1008554501">
    <w:abstractNumId w:val="9"/>
  </w:num>
  <w:num w:numId="25" w16cid:durableId="846404088">
    <w:abstractNumId w:val="27"/>
  </w:num>
  <w:num w:numId="26" w16cid:durableId="1943107529">
    <w:abstractNumId w:val="43"/>
  </w:num>
  <w:num w:numId="27" w16cid:durableId="1976522025">
    <w:abstractNumId w:val="23"/>
  </w:num>
  <w:num w:numId="28" w16cid:durableId="1286306359">
    <w:abstractNumId w:val="30"/>
  </w:num>
  <w:num w:numId="29" w16cid:durableId="1057703034">
    <w:abstractNumId w:val="28"/>
  </w:num>
  <w:num w:numId="30" w16cid:durableId="1179007081">
    <w:abstractNumId w:val="2"/>
  </w:num>
  <w:num w:numId="31" w16cid:durableId="805270484">
    <w:abstractNumId w:val="45"/>
  </w:num>
  <w:num w:numId="32" w16cid:durableId="926495756">
    <w:abstractNumId w:val="41"/>
  </w:num>
  <w:num w:numId="33" w16cid:durableId="1883636047">
    <w:abstractNumId w:val="39"/>
  </w:num>
  <w:num w:numId="34" w16cid:durableId="1367365783">
    <w:abstractNumId w:val="19"/>
  </w:num>
  <w:num w:numId="35" w16cid:durableId="534582063">
    <w:abstractNumId w:val="33"/>
  </w:num>
  <w:num w:numId="36" w16cid:durableId="643463153">
    <w:abstractNumId w:val="10"/>
  </w:num>
  <w:num w:numId="37" w16cid:durableId="1166286352">
    <w:abstractNumId w:val="35"/>
  </w:num>
  <w:num w:numId="38" w16cid:durableId="438988325">
    <w:abstractNumId w:val="5"/>
  </w:num>
  <w:num w:numId="39" w16cid:durableId="2070615808">
    <w:abstractNumId w:val="26"/>
  </w:num>
  <w:num w:numId="40" w16cid:durableId="2020808165">
    <w:abstractNumId w:val="44"/>
  </w:num>
  <w:num w:numId="41" w16cid:durableId="1532182722">
    <w:abstractNumId w:val="37"/>
  </w:num>
  <w:num w:numId="42" w16cid:durableId="1970209395">
    <w:abstractNumId w:val="29"/>
  </w:num>
  <w:num w:numId="43" w16cid:durableId="37512000">
    <w:abstractNumId w:val="14"/>
  </w:num>
  <w:num w:numId="44" w16cid:durableId="1093163758">
    <w:abstractNumId w:val="1"/>
  </w:num>
  <w:num w:numId="45" w16cid:durableId="758990142">
    <w:abstractNumId w:val="20"/>
  </w:num>
  <w:num w:numId="46" w16cid:durableId="126356404">
    <w:abstractNumId w:val="34"/>
  </w:num>
  <w:num w:numId="47" w16cid:durableId="1277635369">
    <w:abstractNumId w:val="46"/>
  </w:num>
  <w:num w:numId="48" w16cid:durableId="1667590173">
    <w:abstractNumId w:val="0"/>
  </w:num>
  <w:num w:numId="49" w16cid:durableId="359745292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234D"/>
    <w:rsid w:val="003514A0"/>
    <w:rsid w:val="003C26CC"/>
    <w:rsid w:val="004F7E17"/>
    <w:rsid w:val="005A05CE"/>
    <w:rsid w:val="00653AF6"/>
    <w:rsid w:val="007E2544"/>
    <w:rsid w:val="00816C9A"/>
    <w:rsid w:val="00953336"/>
    <w:rsid w:val="009A6807"/>
    <w:rsid w:val="00B17B91"/>
    <w:rsid w:val="00B23143"/>
    <w:rsid w:val="00B73A5A"/>
    <w:rsid w:val="00BE6BF7"/>
    <w:rsid w:val="00D3384D"/>
    <w:rsid w:val="00DD11DE"/>
    <w:rsid w:val="00E438A1"/>
    <w:rsid w:val="00E500D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BDA8"/>
  <w15:docId w15:val="{DEACFB8C-4E8E-4E17-97E5-609CADE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33</Pages>
  <Words>10456</Words>
  <Characters>59604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Константин Черных</cp:lastModifiedBy>
  <cp:revision>5</cp:revision>
  <cp:lastPrinted>2025-12-25T08:29:00Z</cp:lastPrinted>
  <dcterms:created xsi:type="dcterms:W3CDTF">2011-11-02T04:15:00Z</dcterms:created>
  <dcterms:modified xsi:type="dcterms:W3CDTF">2025-12-25T09:51:00Z</dcterms:modified>
</cp:coreProperties>
</file>